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57" w:rsidRPr="001E3D57" w:rsidRDefault="001E3D57" w:rsidP="001E3D57">
      <w:pPr>
        <w:shd w:val="clear" w:color="auto" w:fill="FFFFFF"/>
        <w:spacing w:after="475" w:line="264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</w:rPr>
      </w:pPr>
      <w:r w:rsidRPr="001E3D57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</w:rPr>
        <w:t>ОГЭ. 4.10 Финансовый рынок. Финансовые посредники и их услуги.</w:t>
      </w:r>
    </w:p>
    <w:p w:rsidR="001E3D57" w:rsidRDefault="001E3D57" w:rsidP="001E3D57">
      <w:pPr>
        <w:shd w:val="clear" w:color="auto" w:fill="FFFFFF"/>
        <w:spacing w:before="100" w:beforeAutospacing="1" w:after="475" w:line="240" w:lineRule="auto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444444"/>
          <w:sz w:val="40"/>
          <w:szCs w:val="40"/>
        </w:rPr>
        <w:drawing>
          <wp:inline distT="0" distB="0" distL="0" distR="0">
            <wp:extent cx="3768090" cy="2110105"/>
            <wp:effectExtent l="19050" t="0" r="3810" b="0"/>
            <wp:docPr id="1" name="Рисунок 1" descr="http://obschestvoznanie-ege.ru/wp-content/uploads/2024/09/222%D0%B0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schestvoznanie-ege.ru/wp-content/uploads/2024/09/222%D0%B0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57" w:rsidRPr="001E3D57" w:rsidRDefault="001E3D57" w:rsidP="001E3D57">
      <w:pPr>
        <w:shd w:val="clear" w:color="auto" w:fill="FFFFFF"/>
        <w:spacing w:before="100" w:beforeAutospacing="1" w:after="475" w:line="240" w:lineRule="auto"/>
        <w:outlineLvl w:val="2"/>
        <w:rPr>
          <w:rFonts w:ascii="Arial" w:eastAsia="Times New Roman" w:hAnsi="Arial" w:cs="Arial"/>
          <w:b/>
          <w:bCs/>
          <w:color w:val="555555"/>
          <w:sz w:val="40"/>
          <w:szCs w:val="40"/>
        </w:rPr>
      </w:pPr>
      <w:r w:rsidRPr="001E3D57">
        <w:rPr>
          <w:rFonts w:ascii="Arial" w:eastAsia="Times New Roman" w:hAnsi="Arial" w:cs="Arial"/>
          <w:b/>
          <w:bCs/>
          <w:color w:val="000000"/>
          <w:sz w:val="40"/>
          <w:szCs w:val="40"/>
        </w:rPr>
        <w:t>Финансовый рынок.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Финансовый рынок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– это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механизм перераспределения денежных средств между кредиторами и заёмщиками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при помощи посредников на основе спроса и предложения на эти средства. На практике он представляет собой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совокупность финансово-кредитных организаций,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направляющих поток денежных средств от собственников к заёмщикам и обратно.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1E3D57">
        <w:rPr>
          <w:rFonts w:ascii="Arial" w:eastAsia="Times New Roman" w:hAnsi="Arial" w:cs="Arial"/>
          <w:b/>
          <w:bCs/>
          <w:color w:val="555555"/>
          <w:sz w:val="36"/>
        </w:rPr>
        <w:t>Объекты купли-продажи на финансовом рынке:</w:t>
      </w:r>
    </w:p>
    <w:p w:rsidR="001E3D57" w:rsidRPr="001E3D57" w:rsidRDefault="001E3D57" w:rsidP="001E3D57">
      <w:pPr>
        <w:numPr>
          <w:ilvl w:val="0"/>
          <w:numId w:val="1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деньги,</w:t>
      </w:r>
    </w:p>
    <w:p w:rsidR="001E3D57" w:rsidRPr="001E3D57" w:rsidRDefault="001E3D57" w:rsidP="001E3D57">
      <w:pPr>
        <w:numPr>
          <w:ilvl w:val="0"/>
          <w:numId w:val="1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иностранная валюта,</w:t>
      </w:r>
    </w:p>
    <w:p w:rsidR="001E3D57" w:rsidRPr="001E3D57" w:rsidRDefault="001E3D57" w:rsidP="001E3D57">
      <w:pPr>
        <w:numPr>
          <w:ilvl w:val="0"/>
          <w:numId w:val="1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кредитные и страховые услуги,</w:t>
      </w:r>
    </w:p>
    <w:p w:rsidR="001E3D57" w:rsidRPr="001E3D57" w:rsidRDefault="001E3D57" w:rsidP="001E3D57">
      <w:pPr>
        <w:numPr>
          <w:ilvl w:val="0"/>
          <w:numId w:val="1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ценные бумаги,</w:t>
      </w:r>
    </w:p>
    <w:p w:rsidR="001E3D57" w:rsidRPr="001E3D57" w:rsidRDefault="001E3D57" w:rsidP="001E3D57">
      <w:pPr>
        <w:numPr>
          <w:ilvl w:val="0"/>
          <w:numId w:val="1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драгоценные металлы.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1E3D57">
        <w:rPr>
          <w:rFonts w:ascii="Arial" w:eastAsia="Times New Roman" w:hAnsi="Arial" w:cs="Arial"/>
          <w:b/>
          <w:bCs/>
          <w:color w:val="555555"/>
          <w:sz w:val="36"/>
        </w:rPr>
        <w:t> Функции современного финансового рынка:</w:t>
      </w:r>
    </w:p>
    <w:p w:rsidR="001E3D57" w:rsidRPr="001E3D57" w:rsidRDefault="001E3D57" w:rsidP="001E3D57">
      <w:pPr>
        <w:numPr>
          <w:ilvl w:val="0"/>
          <w:numId w:val="2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привлечение дене</w:t>
      </w:r>
      <w:proofErr w:type="gramStart"/>
      <w:r w:rsidRPr="001E3D57">
        <w:rPr>
          <w:rFonts w:ascii="Arial" w:eastAsia="Times New Roman" w:hAnsi="Arial" w:cs="Arial"/>
          <w:b/>
          <w:bCs/>
          <w:color w:val="555555"/>
          <w:sz w:val="29"/>
        </w:rPr>
        <w:t>г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(</w:t>
      </w:r>
      <w:proofErr w:type="gramEnd"/>
      <w:r w:rsidRPr="001E3D57">
        <w:rPr>
          <w:rFonts w:ascii="Arial" w:eastAsia="Times New Roman" w:hAnsi="Arial" w:cs="Arial"/>
          <w:color w:val="555555"/>
          <w:sz w:val="29"/>
          <w:szCs w:val="29"/>
        </w:rPr>
        <w:t>людям и компаниям доступны кредиты, займы и др.);</w:t>
      </w:r>
    </w:p>
    <w:p w:rsidR="001E3D57" w:rsidRPr="001E3D57" w:rsidRDefault="001E3D57" w:rsidP="001E3D57">
      <w:pPr>
        <w:numPr>
          <w:ilvl w:val="0"/>
          <w:numId w:val="2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организация процесса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доведения финансовых активов до потребителе</w:t>
      </w:r>
      <w:proofErr w:type="gramStart"/>
      <w:r w:rsidRPr="001E3D57">
        <w:rPr>
          <w:rFonts w:ascii="Arial" w:eastAsia="Times New Roman" w:hAnsi="Arial" w:cs="Arial"/>
          <w:b/>
          <w:bCs/>
          <w:color w:val="555555"/>
          <w:sz w:val="29"/>
        </w:rPr>
        <w:t>й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(</w:t>
      </w:r>
      <w:proofErr w:type="gramEnd"/>
      <w:r w:rsidRPr="001E3D57">
        <w:rPr>
          <w:rFonts w:ascii="Arial" w:eastAsia="Times New Roman" w:hAnsi="Arial" w:cs="Arial"/>
          <w:color w:val="555555"/>
          <w:sz w:val="29"/>
          <w:szCs w:val="29"/>
        </w:rPr>
        <w:t>покупателей, вкладчиков);</w:t>
      </w:r>
    </w:p>
    <w:p w:rsidR="001E3D57" w:rsidRPr="001E3D57" w:rsidRDefault="001E3D57" w:rsidP="001E3D57">
      <w:pPr>
        <w:numPr>
          <w:ilvl w:val="0"/>
          <w:numId w:val="2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lastRenderedPageBreak/>
        <w:t>вложение и приумножение дене</w:t>
      </w:r>
      <w:proofErr w:type="gramStart"/>
      <w:r w:rsidRPr="001E3D57">
        <w:rPr>
          <w:rFonts w:ascii="Arial" w:eastAsia="Times New Roman" w:hAnsi="Arial" w:cs="Arial"/>
          <w:b/>
          <w:bCs/>
          <w:color w:val="555555"/>
          <w:sz w:val="29"/>
        </w:rPr>
        <w:t>г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(</w:t>
      </w:r>
      <w:proofErr w:type="gramEnd"/>
      <w:r w:rsidRPr="001E3D57">
        <w:rPr>
          <w:rFonts w:ascii="Arial" w:eastAsia="Times New Roman" w:hAnsi="Arial" w:cs="Arial"/>
          <w:color w:val="555555"/>
          <w:sz w:val="29"/>
          <w:szCs w:val="29"/>
        </w:rPr>
        <w:t>можно положить деньги на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депозит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(например, открыть счёт в банке), инвестировать в ценные бумаги, в другие финансовые активы с целью получения прибыли);</w:t>
      </w:r>
    </w:p>
    <w:p w:rsidR="001E3D57" w:rsidRPr="001E3D57" w:rsidRDefault="001E3D57" w:rsidP="001E3D57">
      <w:pPr>
        <w:numPr>
          <w:ilvl w:val="0"/>
          <w:numId w:val="2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страхование от различных риско</w:t>
      </w:r>
      <w:proofErr w:type="gramStart"/>
      <w:r w:rsidRPr="001E3D57">
        <w:rPr>
          <w:rFonts w:ascii="Arial" w:eastAsia="Times New Roman" w:hAnsi="Arial" w:cs="Arial"/>
          <w:b/>
          <w:bCs/>
          <w:color w:val="555555"/>
          <w:sz w:val="29"/>
        </w:rPr>
        <w:t>в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(</w:t>
      </w:r>
      <w:proofErr w:type="gramEnd"/>
      <w:r w:rsidRPr="001E3D57">
        <w:rPr>
          <w:rFonts w:ascii="Arial" w:eastAsia="Times New Roman" w:hAnsi="Arial" w:cs="Arial"/>
          <w:color w:val="555555"/>
          <w:sz w:val="29"/>
          <w:szCs w:val="29"/>
        </w:rPr>
        <w:t>защита от непредвиденных ситуаций);</w:t>
      </w:r>
    </w:p>
    <w:p w:rsidR="001E3D57" w:rsidRPr="001E3D57" w:rsidRDefault="001E3D57" w:rsidP="001E3D57">
      <w:pPr>
        <w:numPr>
          <w:ilvl w:val="0"/>
          <w:numId w:val="2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финансовое обеспечение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процессов инвестирования и потребления;</w:t>
      </w:r>
    </w:p>
    <w:p w:rsidR="001E3D57" w:rsidRPr="001E3D57" w:rsidRDefault="001E3D57" w:rsidP="001E3D57">
      <w:pPr>
        <w:numPr>
          <w:ilvl w:val="0"/>
          <w:numId w:val="2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воздействие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на денежное обращение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Мировой финансовый рынок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– это совокупность финансовых рынков разных стран и регионов.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1E3D57">
        <w:rPr>
          <w:rFonts w:ascii="Arial" w:eastAsia="Times New Roman" w:hAnsi="Arial" w:cs="Arial"/>
          <w:b/>
          <w:bCs/>
          <w:color w:val="555555"/>
          <w:sz w:val="36"/>
        </w:rPr>
        <w:t>Спрос и предложение на финансовом рынке.</w:t>
      </w:r>
    </w:p>
    <w:p w:rsidR="001E3D57" w:rsidRPr="001E3D57" w:rsidRDefault="001E3D57" w:rsidP="001E3D57">
      <w:pPr>
        <w:numPr>
          <w:ilvl w:val="0"/>
          <w:numId w:val="3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Спрос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создают фирмы, банки, государство.</w:t>
      </w:r>
    </w:p>
    <w:p w:rsidR="001E3D57" w:rsidRPr="001E3D57" w:rsidRDefault="001E3D57" w:rsidP="001E3D57">
      <w:pPr>
        <w:numPr>
          <w:ilvl w:val="0"/>
          <w:numId w:val="3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Предложение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 xml:space="preserve">создают участник рынка, </w:t>
      </w:r>
      <w:proofErr w:type="gramStart"/>
      <w:r w:rsidRPr="001E3D57">
        <w:rPr>
          <w:rFonts w:ascii="Arial" w:eastAsia="Times New Roman" w:hAnsi="Arial" w:cs="Arial"/>
          <w:color w:val="555555"/>
          <w:sz w:val="29"/>
          <w:szCs w:val="29"/>
        </w:rPr>
        <w:t>у</w:t>
      </w:r>
      <w:proofErr w:type="gramEnd"/>
      <w:r w:rsidRPr="001E3D57">
        <w:rPr>
          <w:rFonts w:ascii="Arial" w:eastAsia="Times New Roman" w:hAnsi="Arial" w:cs="Arial"/>
          <w:color w:val="555555"/>
          <w:sz w:val="29"/>
          <w:szCs w:val="29"/>
        </w:rPr>
        <w:t xml:space="preserve"> которых есть финансовый избыток, то есть их доходы превышают расходы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1E3D57">
        <w:rPr>
          <w:rFonts w:ascii="Arial" w:eastAsia="Times New Roman" w:hAnsi="Arial" w:cs="Arial"/>
          <w:b/>
          <w:bCs/>
          <w:color w:val="555555"/>
          <w:sz w:val="36"/>
        </w:rPr>
        <w:t> Участники финансовых рынков:</w:t>
      </w:r>
    </w:p>
    <w:p w:rsidR="001E3D57" w:rsidRPr="001E3D57" w:rsidRDefault="001E3D57" w:rsidP="001E3D57">
      <w:pPr>
        <w:numPr>
          <w:ilvl w:val="0"/>
          <w:numId w:val="4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продавцы,</w:t>
      </w:r>
    </w:p>
    <w:p w:rsidR="001E3D57" w:rsidRPr="001E3D57" w:rsidRDefault="001E3D57" w:rsidP="001E3D57">
      <w:pPr>
        <w:numPr>
          <w:ilvl w:val="0"/>
          <w:numId w:val="4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покупатели.</w:t>
      </w:r>
      <w:r w:rsidRPr="001E3D57">
        <w:rPr>
          <w:rFonts w:ascii="Arial" w:eastAsia="Times New Roman" w:hAnsi="Arial" w:cs="Arial"/>
          <w:b/>
          <w:bCs/>
          <w:color w:val="555555"/>
          <w:sz w:val="29"/>
          <w:szCs w:val="29"/>
        </w:rPr>
        <w:br/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Покупатели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— это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инвесторы, то есть те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, кто собирается вложить средства в какой-либо экономический проект.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1E3D57">
        <w:rPr>
          <w:rFonts w:ascii="Arial" w:eastAsia="Times New Roman" w:hAnsi="Arial" w:cs="Arial"/>
          <w:b/>
          <w:bCs/>
          <w:color w:val="000000"/>
          <w:sz w:val="36"/>
        </w:rPr>
        <w:t>Покупатели на финансовом рынке</w:t>
      </w:r>
      <w:r w:rsidRPr="001E3D57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</w:p>
    <w:p w:rsidR="001E3D57" w:rsidRPr="001E3D57" w:rsidRDefault="001E3D57" w:rsidP="001E3D57">
      <w:pPr>
        <w:numPr>
          <w:ilvl w:val="0"/>
          <w:numId w:val="5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государство;</w:t>
      </w:r>
    </w:p>
    <w:p w:rsidR="001E3D57" w:rsidRPr="001E3D57" w:rsidRDefault="001E3D57" w:rsidP="001E3D57">
      <w:pPr>
        <w:numPr>
          <w:ilvl w:val="0"/>
          <w:numId w:val="5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фирмы и предприятия (юридические лица);</w:t>
      </w:r>
    </w:p>
    <w:p w:rsidR="001E3D57" w:rsidRPr="001E3D57" w:rsidRDefault="001E3D57" w:rsidP="001E3D57">
      <w:pPr>
        <w:numPr>
          <w:ilvl w:val="0"/>
          <w:numId w:val="5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люди (физические лица).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Продавцы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– это те, кто предлагает купить определённые денежные средства: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br/>
        <w:t>•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кредиторы (заёмщики)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— банки, предприятия, государственные органы, граждане;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br/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• эмитенты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— предприятия, выпускающие ценные бумаги с целью привлечения финансовых средств</w:t>
      </w:r>
      <w:proofErr w:type="gramStart"/>
      <w:r w:rsidRPr="001E3D57">
        <w:rPr>
          <w:rFonts w:ascii="Arial" w:eastAsia="Times New Roman" w:hAnsi="Arial" w:cs="Arial"/>
          <w:color w:val="555555"/>
          <w:sz w:val="29"/>
          <w:szCs w:val="29"/>
        </w:rPr>
        <w:t>.</w:t>
      </w:r>
      <w:proofErr w:type="gramEnd"/>
      <w:r w:rsidRPr="001E3D57">
        <w:rPr>
          <w:rFonts w:ascii="Arial" w:eastAsia="Times New Roman" w:hAnsi="Arial" w:cs="Arial"/>
          <w:color w:val="555555"/>
          <w:sz w:val="29"/>
          <w:szCs w:val="29"/>
        </w:rPr>
        <w:br/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lastRenderedPageBreak/>
        <w:t>• </w:t>
      </w:r>
      <w:proofErr w:type="gramStart"/>
      <w:r w:rsidRPr="001E3D57">
        <w:rPr>
          <w:rFonts w:ascii="Arial" w:eastAsia="Times New Roman" w:hAnsi="Arial" w:cs="Arial"/>
          <w:b/>
          <w:bCs/>
          <w:color w:val="555555"/>
          <w:sz w:val="29"/>
        </w:rPr>
        <w:t>п</w:t>
      </w:r>
      <w:proofErr w:type="gramEnd"/>
      <w:r w:rsidRPr="001E3D57">
        <w:rPr>
          <w:rFonts w:ascii="Arial" w:eastAsia="Times New Roman" w:hAnsi="Arial" w:cs="Arial"/>
          <w:b/>
          <w:bCs/>
          <w:color w:val="555555"/>
          <w:sz w:val="29"/>
        </w:rPr>
        <w:t>родавцы валюты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— государство, банки, предприятия, граждане.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br/>
        <w:t>•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продавцы драгоценных металлов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— государство, банки, предприятия, граждане.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1E3D57">
        <w:rPr>
          <w:rFonts w:ascii="Arial" w:eastAsia="Times New Roman" w:hAnsi="Arial" w:cs="Arial"/>
          <w:b/>
          <w:bCs/>
          <w:color w:val="000000"/>
          <w:sz w:val="36"/>
        </w:rPr>
        <w:t>Финансовые посредники (банки, страховые компании, кредитные союзы, участник фондового рынка). Услуги финансовых посредников.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Финансовые посредники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– это специальные организации, которые собирают свободные денежные средства и обеспечивают их передачу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 заёмщикам.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К основным финансовым посредникам относят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:</w:t>
      </w:r>
    </w:p>
    <w:p w:rsidR="001E3D57" w:rsidRPr="001E3D57" w:rsidRDefault="001E3D57" w:rsidP="001E3D57">
      <w:pPr>
        <w:numPr>
          <w:ilvl w:val="0"/>
          <w:numId w:val="6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банки,</w:t>
      </w:r>
    </w:p>
    <w:p w:rsidR="001E3D57" w:rsidRPr="001E3D57" w:rsidRDefault="001E3D57" w:rsidP="001E3D57">
      <w:pPr>
        <w:numPr>
          <w:ilvl w:val="0"/>
          <w:numId w:val="6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страховые компании,</w:t>
      </w:r>
    </w:p>
    <w:p w:rsidR="001E3D57" w:rsidRPr="001E3D57" w:rsidRDefault="001E3D57" w:rsidP="001E3D57">
      <w:pPr>
        <w:numPr>
          <w:ilvl w:val="0"/>
          <w:numId w:val="6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кредитные союзы,</w:t>
      </w:r>
    </w:p>
    <w:p w:rsidR="001E3D57" w:rsidRPr="001E3D57" w:rsidRDefault="001E3D57" w:rsidP="001E3D57">
      <w:pPr>
        <w:numPr>
          <w:ilvl w:val="0"/>
          <w:numId w:val="6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участники фондового рынка.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Банки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– финансовые организации, которые принимают вклады под определённые проценты, а затем выдают эти денежные средства под более высокие проценты. Разница между процентами составляет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доход банка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. Банками могут пользоваться как отдельные лица, так и организации. Удобство банковского кредита в том, что его можно выплачивать постепенно, небольшими частями.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Страховые компании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– это компании, которые привлекают деньги от лиц или организаций, желающих накопить средства на компенсацию при наступлении особого, так называемого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страхового случая.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 xml:space="preserve">Выплата денег осуществляется только при наступлении данного случая (если этого случая не будет, то и деньги </w:t>
      </w:r>
      <w:proofErr w:type="gramStart"/>
      <w:r w:rsidRPr="001E3D57">
        <w:rPr>
          <w:rFonts w:ascii="Arial" w:eastAsia="Times New Roman" w:hAnsi="Arial" w:cs="Arial"/>
          <w:color w:val="555555"/>
          <w:sz w:val="29"/>
          <w:szCs w:val="29"/>
        </w:rPr>
        <w:t>получит</w:t>
      </w:r>
      <w:proofErr w:type="gramEnd"/>
      <w:r w:rsidRPr="001E3D57">
        <w:rPr>
          <w:rFonts w:ascii="Arial" w:eastAsia="Times New Roman" w:hAnsi="Arial" w:cs="Arial"/>
          <w:color w:val="555555"/>
          <w:sz w:val="29"/>
          <w:szCs w:val="29"/>
        </w:rPr>
        <w:t xml:space="preserve"> будет нельзя).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Кредитные союзы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– это финансовые кооперативы, которые оказывают те же услуги, что и банки.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В отличие от банков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, кредитные союзы – это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некоммерческие организации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, имеют меньшее количество офисов и выдают кредиты под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меньшие проценты.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240" w:lineRule="auto"/>
        <w:outlineLvl w:val="3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1E3D57">
        <w:rPr>
          <w:rFonts w:ascii="Arial" w:eastAsia="Times New Roman" w:hAnsi="Arial" w:cs="Arial"/>
          <w:b/>
          <w:bCs/>
          <w:color w:val="555555"/>
          <w:sz w:val="36"/>
        </w:rPr>
        <w:lastRenderedPageBreak/>
        <w:t> </w:t>
      </w:r>
      <w:r w:rsidRPr="001E3D57">
        <w:rPr>
          <w:rFonts w:ascii="Arial" w:eastAsia="Times New Roman" w:hAnsi="Arial" w:cs="Arial"/>
          <w:b/>
          <w:bCs/>
          <w:color w:val="000000"/>
          <w:sz w:val="36"/>
        </w:rPr>
        <w:t>Фондовый рынок.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Фондовый рынок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– это рынок, на котором совершаются операции по купле-продаже специфического товара –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ценных бумаг.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Участник фондового рынка:</w:t>
      </w:r>
    </w:p>
    <w:p w:rsidR="001E3D57" w:rsidRPr="001E3D57" w:rsidRDefault="001E3D57" w:rsidP="001E3D57">
      <w:pPr>
        <w:numPr>
          <w:ilvl w:val="0"/>
          <w:numId w:val="7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эмитент,</w:t>
      </w:r>
    </w:p>
    <w:p w:rsidR="001E3D57" w:rsidRPr="001E3D57" w:rsidRDefault="001E3D57" w:rsidP="001E3D57">
      <w:pPr>
        <w:numPr>
          <w:ilvl w:val="0"/>
          <w:numId w:val="7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инвестор.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Эмитент.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Эмитент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– это государство или организация, выпускающая ценные бумаги. Его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цел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ь – привлечение инвестиций, например, для развития предприятия.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Эмитен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 xml:space="preserve">т может покупать ценные бумаги других компаний, чтобы разместить свои свободные средства и получить дополнительную прибыль (по </w:t>
      </w:r>
      <w:proofErr w:type="gramStart"/>
      <w:r w:rsidRPr="001E3D57">
        <w:rPr>
          <w:rFonts w:ascii="Arial" w:eastAsia="Times New Roman" w:hAnsi="Arial" w:cs="Arial"/>
          <w:color w:val="555555"/>
          <w:sz w:val="29"/>
          <w:szCs w:val="29"/>
        </w:rPr>
        <w:t>сути</w:t>
      </w:r>
      <w:proofErr w:type="gramEnd"/>
      <w:r w:rsidRPr="001E3D57">
        <w:rPr>
          <w:rFonts w:ascii="Arial" w:eastAsia="Times New Roman" w:hAnsi="Arial" w:cs="Arial"/>
          <w:color w:val="555555"/>
          <w:sz w:val="29"/>
          <w:szCs w:val="29"/>
        </w:rPr>
        <w:t xml:space="preserve"> он становится инвестором для других предприятий).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Инвестор.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Инвестор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– это лицо или организация, покупающая ценные бумаги.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Цель инвестора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– покупка ценных бумаг, чтобы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сохранить свои свободные денежные средства от инфляции и приумножить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их.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color w:val="555555"/>
          <w:sz w:val="29"/>
          <w:szCs w:val="29"/>
        </w:rPr>
        <w:t>Инвестор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продаёт ценные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</w:t>
      </w:r>
      <w:r w:rsidRPr="001E3D57">
        <w:rPr>
          <w:rFonts w:ascii="Arial" w:eastAsia="Times New Roman" w:hAnsi="Arial" w:cs="Arial"/>
          <w:b/>
          <w:bCs/>
          <w:color w:val="555555"/>
          <w:sz w:val="29"/>
        </w:rPr>
        <w:t>бумаги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, когда они, по его мнению, имеют самую высокую цену на рынке и их продажа может принести максимальный доход.</w:t>
      </w:r>
    </w:p>
    <w:p w:rsidR="001E3D57" w:rsidRPr="001E3D57" w:rsidRDefault="001E3D57" w:rsidP="001E3D57">
      <w:pPr>
        <w:numPr>
          <w:ilvl w:val="0"/>
          <w:numId w:val="8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Физические лица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– частные инвесторы.</w:t>
      </w:r>
    </w:p>
    <w:p w:rsidR="001E3D57" w:rsidRPr="001E3D57" w:rsidRDefault="001E3D57" w:rsidP="001E3D57">
      <w:pPr>
        <w:numPr>
          <w:ilvl w:val="0"/>
          <w:numId w:val="8"/>
        </w:numPr>
        <w:shd w:val="clear" w:color="auto" w:fill="FFFFFF"/>
        <w:spacing w:after="79" w:line="240" w:lineRule="auto"/>
        <w:ind w:left="1005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Юридические лица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, то есть организации, – институциональные инвесторы.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Фондовая биржа –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это фирма-организатор торгов ценными бумагами.</w:t>
      </w:r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lastRenderedPageBreak/>
        <w:t>Доход фондовой биржи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 формируется за счёт процентов от сделок продавцов и покупателей</w:t>
      </w:r>
      <w:proofErr w:type="gramStart"/>
      <w:r w:rsidRPr="001E3D57">
        <w:rPr>
          <w:rFonts w:ascii="Arial" w:eastAsia="Times New Roman" w:hAnsi="Arial" w:cs="Arial"/>
          <w:color w:val="555555"/>
          <w:sz w:val="29"/>
          <w:szCs w:val="29"/>
        </w:rPr>
        <w:t xml:space="preserve"> .</w:t>
      </w:r>
      <w:proofErr w:type="gramEnd"/>
    </w:p>
    <w:p w:rsidR="001E3D57" w:rsidRPr="001E3D57" w:rsidRDefault="001E3D57" w:rsidP="001E3D57">
      <w:pPr>
        <w:shd w:val="clear" w:color="auto" w:fill="FFFFFF"/>
        <w:spacing w:before="100" w:beforeAutospacing="1" w:after="475" w:line="348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1E3D57">
        <w:rPr>
          <w:rFonts w:ascii="Arial" w:eastAsia="Times New Roman" w:hAnsi="Arial" w:cs="Arial"/>
          <w:b/>
          <w:bCs/>
          <w:color w:val="555555"/>
          <w:sz w:val="29"/>
        </w:rPr>
        <w:t>Фондовая биржа обеспечивает участников торгов </w:t>
      </w:r>
      <w:r w:rsidRPr="001E3D57">
        <w:rPr>
          <w:rFonts w:ascii="Arial" w:eastAsia="Times New Roman" w:hAnsi="Arial" w:cs="Arial"/>
          <w:color w:val="555555"/>
          <w:sz w:val="29"/>
          <w:szCs w:val="29"/>
        </w:rPr>
        <w:t>помещением, оборудованием, компьютерной поддержкой и др.</w:t>
      </w:r>
    </w:p>
    <w:p w:rsidR="00875A41" w:rsidRDefault="00875A41"/>
    <w:sectPr w:rsidR="0087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0EC"/>
    <w:multiLevelType w:val="multilevel"/>
    <w:tmpl w:val="1B2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1118C"/>
    <w:multiLevelType w:val="multilevel"/>
    <w:tmpl w:val="CF26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E57C0"/>
    <w:multiLevelType w:val="multilevel"/>
    <w:tmpl w:val="525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C5D87"/>
    <w:multiLevelType w:val="multilevel"/>
    <w:tmpl w:val="BD8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409D7"/>
    <w:multiLevelType w:val="multilevel"/>
    <w:tmpl w:val="513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165C6"/>
    <w:multiLevelType w:val="multilevel"/>
    <w:tmpl w:val="441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C4D9E"/>
    <w:multiLevelType w:val="multilevel"/>
    <w:tmpl w:val="D610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25C95"/>
    <w:multiLevelType w:val="multilevel"/>
    <w:tmpl w:val="9DC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E3D57"/>
    <w:rsid w:val="001E3D57"/>
    <w:rsid w:val="0087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E3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3D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E3D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E3D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D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4/09/222%D0%B0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3</cp:revision>
  <dcterms:created xsi:type="dcterms:W3CDTF">2025-03-15T10:38:00Z</dcterms:created>
  <dcterms:modified xsi:type="dcterms:W3CDTF">2025-03-15T10:39:00Z</dcterms:modified>
</cp:coreProperties>
</file>